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280" w:line="240" w:lineRule="auto"/>
        <w:jc w:val="center"/>
      </w:pPr>
      <w:r>
        <w:drawing>
          <wp:inline xmlns:a="http://schemas.openxmlformats.org/drawingml/2006/main" xmlns:pic="http://schemas.openxmlformats.org/drawingml/2006/picture">
            <wp:extent cx="2194560" cy="1745575"/>
            <wp:docPr id="1" name="Picture 1" title="AIDA Digital Academy logo" descr="AIDA Digital Academy logo"/>
            <wp:cNvGraphicFramePr>
              <a:graphicFrameLocks noChangeAspect="1"/>
            </wp:cNvGraphicFramePr>
            <a:graphic>
              <a:graphicData uri="http://schemas.openxmlformats.org/drawingml/2006/picture">
                <pic:pic>
                  <pic:nvPicPr>
                    <pic:cNvPr id="0" name="AIDA Digital Academy Logo V1(1).png"/>
                    <pic:cNvPicPr/>
                  </pic:nvPicPr>
                  <pic:blipFill>
                    <a:blip r:embed="rId10"/>
                    <a:stretch>
                      <a:fillRect/>
                    </a:stretch>
                  </pic:blipFill>
                  <pic:spPr>
                    <a:xfrm>
                      <a:off x="0" y="0"/>
                      <a:ext cx="2194560" cy="1745575"/>
                    </a:xfrm>
                    <a:prstGeom prst="rect"/>
                  </pic:spPr>
                </pic:pic>
              </a:graphicData>
            </a:graphic>
          </wp:inline>
        </w:drawing>
      </w:r>
    </w:p>
    <w:p>
      <w:pPr>
        <w:spacing w:before="200" w:after="60" w:line="240" w:lineRule="auto"/>
        <w:jc w:val="center"/>
      </w:pPr>
      <w:r>
        <w:rPr>
          <w:rFonts w:ascii="Aptos Display" w:hAnsi="Aptos Display"/>
          <w:b/>
          <w:color w:val="23305D"/>
          <w:sz w:val="60"/>
        </w:rPr>
        <w:t>AI EXPERT</w:t>
      </w:r>
    </w:p>
    <w:p>
      <w:pPr>
        <w:spacing w:before="0" w:after="180" w:line="240" w:lineRule="auto"/>
        <w:jc w:val="center"/>
      </w:pPr>
      <w:r>
        <w:rPr>
          <w:rFonts w:ascii="Aptos Display" w:hAnsi="Aptos Display"/>
          <w:b/>
          <w:color w:val="2B72AA"/>
          <w:sz w:val="36"/>
        </w:rPr>
        <w:t>Developing Advanced Business &amp; Enterprise Applications using Claude Ecosystem</w:t>
      </w:r>
    </w:p>
    <w:tbl>
      <w:tblPr>
        <w:tblW w:type="auto" w:w="0"/>
        <w:jc w:val="center"/>
        <w:tblLayout w:type="fixed"/>
        <w:tblLook w:firstColumn="1" w:firstRow="1" w:lastColumn="0" w:lastRow="0" w:noHBand="0" w:noVBand="1" w:val="04A0"/>
      </w:tblPr>
      <w:tblGrid>
        <w:gridCol w:w="3389"/>
        <w:gridCol w:w="3389"/>
        <w:gridCol w:w="3389"/>
      </w:tblGrid>
      <w:tr>
        <w:tc>
          <w:tcPr>
            <w:tcW w:type="dxa" w:w="1800"/>
            <w:shd w:fill="93192E"/>
            <w:tcMar>
              <w:top w:w="25" w:type="dxa"/>
              <w:start w:w="0" w:type="dxa"/>
              <w:bottom w:w="25" w:type="dxa"/>
              <w:end w:w="0" w:type="dxa"/>
            </w:tcMar>
            <w:tcBorders/>
          </w:tcPr>
          <w:p>
            <w:pPr>
              <w:jc w:val="both"/>
            </w:pPr>
          </w:p>
        </w:tc>
        <w:tc>
          <w:tcPr>
            <w:tcW w:type="dxa" w:w="5472"/>
            <w:shd w:fill="23305D"/>
            <w:tcMar>
              <w:top w:w="25" w:type="dxa"/>
              <w:start w:w="0" w:type="dxa"/>
              <w:bottom w:w="25" w:type="dxa"/>
              <w:end w:w="0" w:type="dxa"/>
            </w:tcMar>
            <w:tcBorders/>
          </w:tcPr>
          <w:p>
            <w:pPr>
              <w:jc w:val="both"/>
            </w:pPr>
          </w:p>
        </w:tc>
        <w:tc>
          <w:tcPr>
            <w:tcW w:type="dxa" w:w="1800"/>
            <w:shd w:fill="2B72AA"/>
            <w:tcMar>
              <w:top w:w="25" w:type="dxa"/>
              <w:start w:w="0" w:type="dxa"/>
              <w:bottom w:w="25" w:type="dxa"/>
              <w:end w:w="0" w:type="dxa"/>
            </w:tcMar>
            <w:tcBorders/>
          </w:tcPr>
          <w:p>
            <w:pPr>
              <w:jc w:val="both"/>
            </w:pPr>
          </w:p>
        </w:tc>
      </w:tr>
    </w:tbl>
    <w:p>
      <w:pPr>
        <w:spacing w:before="320" w:after="60" w:line="240" w:lineRule="auto"/>
        <w:jc w:val="both"/>
      </w:pPr>
      <w:r>
        <w:rPr>
          <w:rFonts w:ascii="Aptos" w:hAnsi="Aptos"/>
          <w:b/>
          <w:color w:val="93192E"/>
          <w:sz w:val="22"/>
        </w:rPr>
        <w:t>PROGRAM CURRICULUM</w:t>
      </w:r>
    </w:p>
    <w:p>
      <w:pPr>
        <w:spacing w:before="0" w:after="40" w:line="240" w:lineRule="auto"/>
        <w:jc w:val="both"/>
      </w:pPr>
      <w:r>
        <w:rPr>
          <w:rFonts w:ascii="Aptos" w:hAnsi="Aptos"/>
          <w:b/>
          <w:color w:val="23305D"/>
          <w:sz w:val="24"/>
        </w:rPr>
        <w:t>8 courses  |  16 workshops × 2 hours  |  32 hours total</w:t>
      </w:r>
    </w:p>
    <w:p>
      <w:pPr>
        <w:spacing w:before="0" w:after="360" w:line="240" w:lineRule="auto"/>
        <w:jc w:val="both"/>
      </w:pPr>
      <w:r>
        <w:rPr>
          <w:rFonts w:ascii="Aptos" w:hAnsi="Aptos"/>
          <w:color w:val="667085"/>
          <w:sz w:val="21"/>
        </w:rPr>
        <w:t>A practical pathway from Claude fluency to office productivity, media production, connected platforms, cloud operations, application delivery and agentic systems.</w:t>
      </w:r>
    </w:p>
    <w:tbl>
      <w:tblPr>
        <w:tblW w:type="auto" w:w="0"/>
        <w:jc w:val="center"/>
        <w:tblLook w:firstColumn="1" w:firstRow="1" w:lastColumn="0" w:lastRow="0" w:noHBand="0" w:noVBand="1" w:val="04A0"/>
      </w:tblPr>
      <w:tblGrid>
        <w:gridCol w:w="10166"/>
      </w:tblGrid>
      <w:tr>
        <w:tc>
          <w:tcPr>
            <w:tcW w:type="dxa" w:w="10166"/>
            <w:shd w:fill="EEF0F6"/>
            <w:tcMar>
              <w:top w:w="150" w:type="dxa"/>
              <w:start w:w="220" w:type="dxa"/>
              <w:bottom w:w="150" w:type="dxa"/>
              <w:end w:w="220" w:type="dxa"/>
            </w:tcMar>
            <w:tcBorders>
              <w:left w:val="single" w:sz="20" w:color="2B72AA"/>
            </w:tcBorders>
          </w:tcPr>
          <w:p>
            <w:pPr>
              <w:spacing w:before="0" w:after="60" w:line="240" w:lineRule="auto"/>
              <w:jc w:val="both"/>
            </w:pPr>
            <w:r>
              <w:rPr>
                <w:rFonts w:ascii="Aptos" w:hAnsi="Aptos"/>
                <w:b/>
                <w:color w:val="93192E"/>
                <w:sz w:val="18"/>
              </w:rPr>
              <w:t>PURPOSE</w:t>
            </w:r>
          </w:p>
          <w:p>
            <w:pPr>
              <w:spacing w:before="0" w:after="0" w:line="269" w:lineRule="auto"/>
              <w:jc w:val="both"/>
            </w:pPr>
            <w:r>
              <w:rPr>
                <w:rFonts w:ascii="Aptos" w:hAnsi="Aptos"/>
                <w:color w:val="23305D"/>
                <w:sz w:val="22"/>
              </w:rPr>
              <w:t>To prepare professionals to design, build and govern advanced business applications with Claude - connecting intelligence to Microsoft 365, media, websites, cloud infrastructure, enterprise systems, custom software and agentic workflows.</w:t>
            </w:r>
          </w:p>
        </w:tc>
      </w:tr>
    </w:tbl>
    <w:p>
      <w:pPr>
        <w:spacing w:before="320" w:after="0" w:line="240" w:lineRule="auto"/>
        <w:jc w:val="both"/>
      </w:pPr>
      <w:r>
        <w:rPr>
          <w:rFonts w:ascii="Aptos" w:hAnsi="Aptos"/>
          <w:i/>
          <w:color w:val="8A93A3"/>
          <w:sz w:val="17"/>
        </w:rPr>
        <w:t>Prepared for website publication by AIDA Digital Academy</w:t>
      </w:r>
    </w:p>
    <w:p>
      <w:pPr>
        <w:jc w:val="both"/>
      </w:pPr>
      <w:r>
        <w:br w:type="page"/>
      </w:r>
    </w:p>
    <w:p>
      <w:pPr>
        <w:spacing w:before="0" w:after="40" w:line="240" w:lineRule="auto"/>
        <w:jc w:val="both"/>
      </w:pPr>
      <w:r>
        <w:rPr>
          <w:rFonts w:ascii="Aptos Display" w:hAnsi="Aptos Display"/>
          <w:b/>
          <w:color w:val="93192E"/>
          <w:sz w:val="18"/>
        </w:rPr>
        <w:t>AI EXPERT</w:t>
      </w:r>
    </w:p>
    <w:p>
      <w:pPr>
        <w:spacing w:before="0" w:after="100" w:line="240" w:lineRule="auto"/>
        <w:jc w:val="both"/>
      </w:pPr>
      <w:r>
        <w:rPr>
          <w:rFonts w:ascii="Aptos Display" w:hAnsi="Aptos Display"/>
          <w:b/>
          <w:color w:val="23305D"/>
          <w:sz w:val="40"/>
        </w:rPr>
        <w:t>Program Overview</w:t>
      </w:r>
    </w:p>
    <w:p>
      <w:pPr>
        <w:spacing w:before="0" w:after="160"/>
        <w:pBdr>
          <w:bottom w:val="single" w:sz="12" w:space="1" w:color="2B72AA"/>
        </w:pBdr>
        <w:jc w:val="both"/>
      </w:pPr>
    </w:p>
    <w:p>
      <w:pPr>
        <w:spacing w:before="0" w:after="160" w:line="271" w:lineRule="auto"/>
        <w:jc w:val="both"/>
      </w:pPr>
      <w:r>
        <w:rPr>
          <w:rFonts w:ascii="Aptos" w:hAnsi="Aptos"/>
          <w:color w:val="1F2937"/>
          <w:sz w:val="21"/>
        </w:rPr>
        <w:t>AI Expert: Developing Advanced Business &amp; Enterprise Applications using Claude Ecosystem is a hands-on, ecosystem-based program for professionals who want to move beyond isolated chatbot use and build connected, governed solutions. Participants learn to use Claude as a reasoning and execution layer across office work, creative production, websites, cloud operations, finance and ERP workflows, software development, and agentic automation. The emphasis is practical: selecting the right Claude surface, connecting trusted tools and data, creating working prototypes, testing high-impact actions, and preserving human accountability as systems become more capable.</w:t>
      </w:r>
    </w:p>
    <w:p>
      <w:pPr>
        <w:spacing w:before="0" w:after="160" w:line="271" w:lineRule="auto"/>
        <w:jc w:val="both"/>
      </w:pPr>
      <w:r>
        <w:rPr>
          <w:rFonts w:ascii="Aptos" w:hAnsi="Aptos"/>
          <w:color w:val="1F2937"/>
          <w:sz w:val="21"/>
        </w:rPr>
        <w:t>The journey progresses from Claude apps, Cowork, Claude Code, the Claude Platform, Skills, connectors and MCP; through Microsoft 365 and Higgsfield production workflows; into WordPress and Azure; then across Stripe, PayPal, QuickBooks and ERPNext. Participants finish by building desktop, web and mobile applications and orchestrating Claude-powered agents with n8n, including Telegram and Instagram workflows, custom agents and multi-agent systems. Each course is delivered in two focused two-hour workshops: the first establishes concepts and guided practice, while the second integrates, tests and hands off a usable business solution.</w:t>
      </w:r>
    </w:p>
    <w:tbl>
      <w:tblPr>
        <w:tblW w:type="auto" w:w="0"/>
        <w:jc w:val="center"/>
        <w:tblLayout w:type="fixed"/>
        <w:tblLook w:firstColumn="1" w:firstRow="1" w:lastColumn="0" w:lastRow="0" w:noHBand="0" w:noVBand="1" w:val="04A0"/>
      </w:tblPr>
      <w:tblGrid>
        <w:gridCol w:w="1271"/>
        <w:gridCol w:w="1271"/>
        <w:gridCol w:w="1271"/>
        <w:gridCol w:w="1271"/>
        <w:gridCol w:w="1271"/>
        <w:gridCol w:w="1271"/>
        <w:gridCol w:w="1271"/>
        <w:gridCol w:w="1271"/>
      </w:tblGrid>
      <w:tr>
        <w:tc>
          <w:tcPr>
            <w:tcW w:type="dxa" w:w="1271"/>
            <w:shd w:fill="93192E"/>
            <w:tcMar>
              <w:top w:w="75" w:type="dxa"/>
              <w:start w:w="20" w:type="dxa"/>
              <w:bottom w:w="75" w:type="dxa"/>
              <w:end w:w="20" w:type="dxa"/>
            </w:tcMar>
          </w:tcPr>
          <w:p>
            <w:pPr>
              <w:spacing w:before="0" w:after="0" w:line="240" w:lineRule="auto"/>
              <w:jc w:val="both"/>
            </w:pPr>
            <w:r>
              <w:rPr>
                <w:rFonts w:ascii="Aptos" w:hAnsi="Aptos"/>
                <w:b/>
                <w:color w:val="FFFFFF"/>
                <w:sz w:val="14"/>
              </w:rPr>
              <w:t>UNDERSTAND</w:t>
            </w:r>
          </w:p>
        </w:tc>
        <w:tc>
          <w:tcPr>
            <w:tcW w:type="dxa" w:w="1271"/>
            <w:shd w:fill="23305D"/>
            <w:tcMar>
              <w:top w:w="75" w:type="dxa"/>
              <w:start w:w="20" w:type="dxa"/>
              <w:bottom w:w="75" w:type="dxa"/>
              <w:end w:w="20" w:type="dxa"/>
            </w:tcMar>
          </w:tcPr>
          <w:p>
            <w:pPr>
              <w:spacing w:before="0" w:after="0" w:line="240" w:lineRule="auto"/>
              <w:jc w:val="both"/>
            </w:pPr>
            <w:r>
              <w:rPr>
                <w:rFonts w:ascii="Aptos" w:hAnsi="Aptos"/>
                <w:b/>
                <w:color w:val="FFFFFF"/>
                <w:sz w:val="14"/>
              </w:rPr>
              <w:t>WORK</w:t>
            </w:r>
          </w:p>
        </w:tc>
        <w:tc>
          <w:tcPr>
            <w:tcW w:type="dxa" w:w="1271"/>
            <w:shd w:fill="2B72AA"/>
            <w:tcMar>
              <w:top w:w="75" w:type="dxa"/>
              <w:start w:w="20" w:type="dxa"/>
              <w:bottom w:w="75" w:type="dxa"/>
              <w:end w:w="20" w:type="dxa"/>
            </w:tcMar>
          </w:tcPr>
          <w:p>
            <w:pPr>
              <w:spacing w:before="0" w:after="0" w:line="240" w:lineRule="auto"/>
              <w:jc w:val="both"/>
            </w:pPr>
            <w:r>
              <w:rPr>
                <w:rFonts w:ascii="Aptos" w:hAnsi="Aptos"/>
                <w:b/>
                <w:color w:val="FFFFFF"/>
                <w:sz w:val="14"/>
              </w:rPr>
              <w:t>CREATE</w:t>
            </w:r>
          </w:p>
        </w:tc>
        <w:tc>
          <w:tcPr>
            <w:tcW w:type="dxa" w:w="1271"/>
            <w:shd w:fill="93192E"/>
            <w:tcMar>
              <w:top w:w="75" w:type="dxa"/>
              <w:start w:w="20" w:type="dxa"/>
              <w:bottom w:w="75" w:type="dxa"/>
              <w:end w:w="20" w:type="dxa"/>
            </w:tcMar>
          </w:tcPr>
          <w:p>
            <w:pPr>
              <w:spacing w:before="0" w:after="0" w:line="240" w:lineRule="auto"/>
              <w:jc w:val="both"/>
            </w:pPr>
            <w:r>
              <w:rPr>
                <w:rFonts w:ascii="Aptos" w:hAnsi="Aptos"/>
                <w:b/>
                <w:color w:val="FFFFFF"/>
                <w:sz w:val="14"/>
              </w:rPr>
              <w:t>PUBLISH</w:t>
            </w:r>
          </w:p>
        </w:tc>
        <w:tc>
          <w:tcPr>
            <w:tcW w:type="dxa" w:w="1271"/>
            <w:shd w:fill="23305D"/>
            <w:tcMar>
              <w:top w:w="75" w:type="dxa"/>
              <w:start w:w="20" w:type="dxa"/>
              <w:bottom w:w="75" w:type="dxa"/>
              <w:end w:w="20" w:type="dxa"/>
            </w:tcMar>
          </w:tcPr>
          <w:p>
            <w:pPr>
              <w:spacing w:before="0" w:after="0" w:line="240" w:lineRule="auto"/>
              <w:jc w:val="both"/>
            </w:pPr>
            <w:r>
              <w:rPr>
                <w:rFonts w:ascii="Aptos" w:hAnsi="Aptos"/>
                <w:b/>
                <w:color w:val="FFFFFF"/>
                <w:sz w:val="14"/>
              </w:rPr>
              <w:t>OPERATE</w:t>
            </w:r>
          </w:p>
        </w:tc>
        <w:tc>
          <w:tcPr>
            <w:tcW w:type="dxa" w:w="1271"/>
            <w:shd w:fill="2B72AA"/>
            <w:tcMar>
              <w:top w:w="75" w:type="dxa"/>
              <w:start w:w="20" w:type="dxa"/>
              <w:bottom w:w="75" w:type="dxa"/>
              <w:end w:w="20" w:type="dxa"/>
            </w:tcMar>
          </w:tcPr>
          <w:p>
            <w:pPr>
              <w:spacing w:before="0" w:after="0" w:line="240" w:lineRule="auto"/>
              <w:jc w:val="both"/>
            </w:pPr>
            <w:r>
              <w:rPr>
                <w:rFonts w:ascii="Aptos" w:hAnsi="Aptos"/>
                <w:b/>
                <w:color w:val="FFFFFF"/>
                <w:sz w:val="14"/>
              </w:rPr>
              <w:t>INTEGRATE</w:t>
            </w:r>
          </w:p>
        </w:tc>
        <w:tc>
          <w:tcPr>
            <w:tcW w:type="dxa" w:w="1271"/>
            <w:shd w:fill="93192E"/>
            <w:tcMar>
              <w:top w:w="75" w:type="dxa"/>
              <w:start w:w="20" w:type="dxa"/>
              <w:bottom w:w="75" w:type="dxa"/>
              <w:end w:w="20" w:type="dxa"/>
            </w:tcMar>
          </w:tcPr>
          <w:p>
            <w:pPr>
              <w:spacing w:before="0" w:after="0" w:line="240" w:lineRule="auto"/>
              <w:jc w:val="both"/>
            </w:pPr>
            <w:r>
              <w:rPr>
                <w:rFonts w:ascii="Aptos" w:hAnsi="Aptos"/>
                <w:b/>
                <w:color w:val="FFFFFF"/>
                <w:sz w:val="14"/>
              </w:rPr>
              <w:t>BUILD</w:t>
            </w:r>
          </w:p>
        </w:tc>
        <w:tc>
          <w:tcPr>
            <w:tcW w:type="dxa" w:w="1271"/>
            <w:shd w:fill="23305D"/>
            <w:tcMar>
              <w:top w:w="75" w:type="dxa"/>
              <w:start w:w="20" w:type="dxa"/>
              <w:bottom w:w="75" w:type="dxa"/>
              <w:end w:w="20" w:type="dxa"/>
            </w:tcMar>
          </w:tcPr>
          <w:p>
            <w:pPr>
              <w:spacing w:before="0" w:after="0" w:line="240" w:lineRule="auto"/>
              <w:jc w:val="both"/>
            </w:pPr>
            <w:r>
              <w:rPr>
                <w:rFonts w:ascii="Aptos" w:hAnsi="Aptos"/>
                <w:b/>
                <w:color w:val="FFFFFF"/>
                <w:sz w:val="14"/>
              </w:rPr>
              <w:t>ORCHESTRATE</w:t>
            </w:r>
          </w:p>
        </w:tc>
      </w:tr>
    </w:tbl>
    <w:p>
      <w:pPr>
        <w:spacing w:before="220" w:after="80" w:line="240" w:lineRule="auto"/>
        <w:jc w:val="both"/>
      </w:pPr>
      <w:r>
        <w:rPr>
          <w:rFonts w:ascii="Aptos Display" w:hAnsi="Aptos Display"/>
          <w:b/>
          <w:color w:val="23305D"/>
          <w:sz w:val="27"/>
        </w:rPr>
        <w:t>What participants should be able to do</w:t>
      </w:r>
    </w:p>
    <w:p>
      <w:pPr>
        <w:pStyle w:val="BulletAIDA"/>
        <w:spacing w:before="0" w:after="50" w:line="257" w:lineRule="auto"/>
        <w:jc w:val="both"/>
      </w:pPr>
      <w:r>
        <w:rPr>
          <w:rFonts w:ascii="Aptos" w:hAnsi="Aptos"/>
          <w:color w:val="1F2937"/>
          <w:sz w:val="19"/>
        </w:rPr>
        <w:t>Choose and configure Claude apps, Cowork, Claude Code, the Platform, Skills, connectors and MCP for a governed business outcome.</w:t>
      </w:r>
    </w:p>
    <w:p>
      <w:pPr>
        <w:pStyle w:val="BulletAIDA"/>
        <w:spacing w:before="0" w:after="50" w:line="257" w:lineRule="auto"/>
        <w:jc w:val="both"/>
      </w:pPr>
      <w:r>
        <w:rPr>
          <w:rFonts w:ascii="Aptos" w:hAnsi="Aptos"/>
          <w:color w:val="1F2937"/>
          <w:sz w:val="19"/>
        </w:rPr>
        <w:t>Use Claude with Microsoft 365 to research, analyze, create and coordinate work across files, spreadsheets, presentations, email, calendar and Teams.</w:t>
      </w:r>
    </w:p>
    <w:p>
      <w:pPr>
        <w:pStyle w:val="BulletAIDA"/>
        <w:spacing w:before="0" w:after="50" w:line="257" w:lineRule="auto"/>
        <w:jc w:val="both"/>
      </w:pPr>
      <w:r>
        <w:rPr>
          <w:rFonts w:ascii="Aptos" w:hAnsi="Aptos"/>
          <w:color w:val="1F2937"/>
          <w:sz w:val="19"/>
        </w:rPr>
        <w:t>Direct a Claude-Higgsfield production workflow for transcripts, scripts, images, voice, music, sound and video.</w:t>
      </w:r>
    </w:p>
    <w:p>
      <w:pPr>
        <w:pStyle w:val="BulletAIDA"/>
        <w:spacing w:before="0" w:after="50" w:line="257" w:lineRule="auto"/>
        <w:jc w:val="both"/>
      </w:pPr>
      <w:r>
        <w:rPr>
          <w:rFonts w:ascii="Aptos" w:hAnsi="Aptos"/>
          <w:color w:val="1F2937"/>
          <w:sz w:val="19"/>
        </w:rPr>
        <w:t>Design, build and operate dynamic WordPress sites using blocks, themes, plugins, REST APIs and MCP-enabled abilities.</w:t>
      </w:r>
    </w:p>
    <w:p>
      <w:pPr>
        <w:pStyle w:val="BulletAIDA"/>
        <w:spacing w:before="0" w:after="50" w:line="257" w:lineRule="auto"/>
        <w:jc w:val="both"/>
      </w:pPr>
      <w:r>
        <w:rPr>
          <w:rFonts w:ascii="Aptos" w:hAnsi="Aptos"/>
          <w:color w:val="1F2937"/>
          <w:sz w:val="19"/>
        </w:rPr>
        <w:t>Provision, inspect and operate Azure solutions with Microsoft Foundry, infrastructure as code, Azure MCP, monitoring and RBAC.</w:t>
      </w:r>
    </w:p>
    <w:p>
      <w:pPr>
        <w:pStyle w:val="BulletAIDA"/>
        <w:spacing w:before="0" w:after="50" w:line="257" w:lineRule="auto"/>
        <w:jc w:val="both"/>
      </w:pPr>
      <w:r>
        <w:rPr>
          <w:rFonts w:ascii="Aptos" w:hAnsi="Aptos"/>
          <w:color w:val="1F2937"/>
          <w:sz w:val="19"/>
        </w:rPr>
        <w:t>Connect Stripe, PayPal, QuickBooks and ERPNext through governed payment, finance and ERP workflows.</w:t>
      </w:r>
    </w:p>
    <w:p>
      <w:pPr>
        <w:pStyle w:val="BulletAIDA"/>
        <w:spacing w:before="0" w:after="50" w:line="257" w:lineRule="auto"/>
        <w:jc w:val="both"/>
      </w:pPr>
      <w:r>
        <w:rPr>
          <w:rFonts w:ascii="Aptos" w:hAnsi="Aptos"/>
          <w:color w:val="1F2937"/>
          <w:sz w:val="19"/>
        </w:rPr>
        <w:t>Build, test and deploy Claude-powered desktop, web and mobile applications using APIs, SDKs and reusable services.</w:t>
      </w:r>
    </w:p>
    <w:p>
      <w:pPr>
        <w:pStyle w:val="BulletAIDA"/>
        <w:spacing w:before="0" w:after="50" w:line="257" w:lineRule="auto"/>
        <w:jc w:val="both"/>
      </w:pPr>
      <w:r>
        <w:rPr>
          <w:rFonts w:ascii="Aptos" w:hAnsi="Aptos"/>
          <w:color w:val="1F2937"/>
          <w:sz w:val="19"/>
        </w:rPr>
        <w:t>Create reliable n8n agents for Telegram, Instagram, custom workflows and multi-agent orchestration with human approval and observability.</w:t>
      </w:r>
    </w:p>
    <w:p>
      <w:pPr>
        <w:spacing w:before="140" w:after="80" w:line="240" w:lineRule="auto"/>
        <w:jc w:val="both"/>
      </w:pPr>
      <w:r>
        <w:rPr>
          <w:rFonts w:ascii="Aptos Display" w:hAnsi="Aptos Display"/>
          <w:b/>
          <w:color w:val="23305D"/>
          <w:sz w:val="27"/>
        </w:rPr>
        <w:t>Program at a glance</w:t>
      </w:r>
    </w:p>
    <w:tbl>
      <w:tblPr>
        <w:tblW w:type="auto" w:w="0"/>
        <w:jc w:val="center"/>
        <w:tblLayout w:type="fixed"/>
        <w:tblLook w:firstColumn="1" w:firstRow="1" w:lastColumn="0" w:lastRow="0" w:noHBand="0" w:noVBand="1" w:val="04A0"/>
      </w:tblPr>
      <w:tblGrid>
        <w:gridCol w:w="936"/>
        <w:gridCol w:w="7992"/>
        <w:gridCol w:w="1152"/>
      </w:tblGrid>
      <w:tr>
        <w:trPr>
          <w:tblHeader w:val="true"/>
        </w:trPr>
        <w:tc>
          <w:tcPr>
            <w:tcW w:type="dxa" w:w="3389"/>
            <w:shd w:fill="23305D"/>
            <w:tcMar>
              <w:top w:w="70" w:type="dxa"/>
              <w:start w:w="90" w:type="dxa"/>
              <w:bottom w:w="70" w:type="dxa"/>
              <w:end w:w="90" w:type="dxa"/>
            </w:tcMar>
          </w:tcPr>
          <w:p>
            <w:pPr>
              <w:spacing w:before="0" w:after="0" w:line="240" w:lineRule="auto"/>
              <w:jc w:val="both"/>
            </w:pPr>
            <w:r>
              <w:rPr>
                <w:rFonts w:ascii="Aptos" w:hAnsi="Aptos"/>
                <w:b/>
                <w:color w:val="FFFFFF"/>
                <w:sz w:val="17"/>
              </w:rPr>
              <w:t>#</w:t>
            </w:r>
          </w:p>
        </w:tc>
        <w:tc>
          <w:tcPr>
            <w:tcW w:type="dxa" w:w="3389"/>
            <w:shd w:fill="23305D"/>
            <w:tcMar>
              <w:top w:w="70" w:type="dxa"/>
              <w:start w:w="90" w:type="dxa"/>
              <w:bottom w:w="70" w:type="dxa"/>
              <w:end w:w="90" w:type="dxa"/>
            </w:tcMar>
          </w:tcPr>
          <w:p>
            <w:pPr>
              <w:spacing w:before="0" w:after="0" w:line="240" w:lineRule="auto"/>
              <w:jc w:val="both"/>
            </w:pPr>
            <w:r>
              <w:rPr>
                <w:rFonts w:ascii="Aptos" w:hAnsi="Aptos"/>
                <w:b/>
                <w:color w:val="FFFFFF"/>
                <w:sz w:val="17"/>
              </w:rPr>
              <w:t>Course</w:t>
            </w:r>
          </w:p>
        </w:tc>
        <w:tc>
          <w:tcPr>
            <w:tcW w:type="dxa" w:w="3389"/>
            <w:shd w:fill="23305D"/>
            <w:tcMar>
              <w:top w:w="70" w:type="dxa"/>
              <w:start w:w="90" w:type="dxa"/>
              <w:bottom w:w="70" w:type="dxa"/>
              <w:end w:w="90" w:type="dxa"/>
            </w:tcMar>
          </w:tcPr>
          <w:p>
            <w:pPr>
              <w:spacing w:before="0" w:after="0" w:line="240" w:lineRule="auto"/>
              <w:jc w:val="both"/>
            </w:pPr>
            <w:r>
              <w:rPr>
                <w:rFonts w:ascii="Aptos" w:hAnsi="Aptos"/>
                <w:b/>
                <w:color w:val="FFFFFF"/>
                <w:sz w:val="17"/>
              </w:rPr>
              <w:t>Delivery</w:t>
            </w:r>
          </w:p>
        </w:tc>
      </w:tr>
      <w:tr>
        <w:tc>
          <w:tcPr>
            <w:tcW w:type="dxa" w:w="936"/>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1</w:t>
            </w:r>
          </w:p>
        </w:tc>
        <w:tc>
          <w:tcPr>
            <w:tcW w:type="dxa" w:w="799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Claude Ecosystem</w:t>
            </w:r>
          </w:p>
        </w:tc>
        <w:tc>
          <w:tcPr>
            <w:tcW w:type="dxa" w:w="115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2</w:t>
            </w:r>
          </w:p>
        </w:tc>
        <w:tc>
          <w:tcPr>
            <w:tcW w:type="dxa" w:w="799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Office Work with Claude + Microsoft 365</w:t>
            </w:r>
          </w:p>
        </w:tc>
        <w:tc>
          <w:tcPr>
            <w:tcW w:type="dxa" w:w="115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3</w:t>
            </w:r>
          </w:p>
        </w:tc>
        <w:tc>
          <w:tcPr>
            <w:tcW w:type="dxa" w:w="799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Media Production with Claude + Higgsfield</w:t>
            </w:r>
          </w:p>
        </w:tc>
        <w:tc>
          <w:tcPr>
            <w:tcW w:type="dxa" w:w="115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4</w:t>
            </w:r>
          </w:p>
        </w:tc>
        <w:tc>
          <w:tcPr>
            <w:tcW w:type="dxa" w:w="799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Dynamic Websites with Claude + WordPress</w:t>
            </w:r>
          </w:p>
        </w:tc>
        <w:tc>
          <w:tcPr>
            <w:tcW w:type="dxa" w:w="115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5</w:t>
            </w:r>
          </w:p>
        </w:tc>
        <w:tc>
          <w:tcPr>
            <w:tcW w:type="dxa" w:w="799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Managing Cloud Infrastructure with Claude + Azure</w:t>
            </w:r>
          </w:p>
        </w:tc>
        <w:tc>
          <w:tcPr>
            <w:tcW w:type="dxa" w:w="115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6</w:t>
            </w:r>
          </w:p>
        </w:tc>
        <w:tc>
          <w:tcPr>
            <w:tcW w:type="dxa" w:w="799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Enterprise Solutions: Stripe, PayPal, QuickBooks + ERPNext</w:t>
            </w:r>
          </w:p>
        </w:tc>
        <w:tc>
          <w:tcPr>
            <w:tcW w:type="dxa" w:w="115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7</w:t>
            </w:r>
          </w:p>
        </w:tc>
        <w:tc>
          <w:tcPr>
            <w:tcW w:type="dxa" w:w="799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Building Custom Apps: Desktop, Web + Mobile</w:t>
            </w:r>
          </w:p>
        </w:tc>
        <w:tc>
          <w:tcPr>
            <w:tcW w:type="dxa" w:w="1152"/>
            <w:shd w:fill="FFFFFF"/>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r>
        <w:tc>
          <w:tcPr>
            <w:tcW w:type="dxa" w:w="936"/>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93192E"/>
                <w:sz w:val="17"/>
              </w:rPr>
              <w:t>8</w:t>
            </w:r>
          </w:p>
        </w:tc>
        <w:tc>
          <w:tcPr>
            <w:tcW w:type="dxa" w:w="799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color w:val="1F2937"/>
                <w:sz w:val="17"/>
              </w:rPr>
              <w:t>Agentic Systems with Claude + n8n</w:t>
            </w:r>
          </w:p>
        </w:tc>
        <w:tc>
          <w:tcPr>
            <w:tcW w:type="dxa" w:w="1152"/>
            <w:shd w:fill="F7F9FC"/>
            <w:tcMar>
              <w:top w:w="56" w:type="dxa"/>
              <w:start w:w="90" w:type="dxa"/>
              <w:bottom w:w="56" w:type="dxa"/>
              <w:end w:w="90" w:type="dxa"/>
            </w:tcMar>
            <w:tcBorders>
              <w:bottom w:val="single" w:sz="2" w:color="E4E7EC"/>
            </w:tcBorders>
          </w:tcPr>
          <w:p>
            <w:pPr>
              <w:spacing w:before="0" w:after="0" w:line="240" w:lineRule="auto"/>
              <w:jc w:val="both"/>
            </w:pPr>
            <w:r>
              <w:rPr>
                <w:rFonts w:ascii="Aptos" w:hAnsi="Aptos"/>
                <w:b/>
                <w:color w:val="23305D"/>
                <w:sz w:val="17"/>
              </w:rPr>
              <w:t>2 × 2 hrs</w:t>
            </w:r>
          </w:p>
        </w:tc>
      </w:tr>
    </w:tbl>
    <w:p>
      <w:pPr>
        <w:jc w:val="both"/>
      </w:pPr>
      <w:r>
        <w:br w:type="page"/>
      </w:r>
    </w:p>
    <w:p>
      <w:pPr>
        <w:spacing w:before="0" w:after="40" w:line="240" w:lineRule="auto"/>
        <w:jc w:val="both"/>
      </w:pPr>
      <w:r>
        <w:rPr>
          <w:rFonts w:ascii="Aptos Display" w:hAnsi="Aptos Display"/>
          <w:b/>
          <w:color w:val="93192E"/>
          <w:sz w:val="18"/>
        </w:rPr>
        <w:t>CURRICULUM</w:t>
      </w:r>
    </w:p>
    <w:p>
      <w:pPr>
        <w:spacing w:before="0" w:after="100" w:line="240" w:lineRule="auto"/>
        <w:jc w:val="both"/>
      </w:pPr>
      <w:r>
        <w:rPr>
          <w:rFonts w:ascii="Aptos Display" w:hAnsi="Aptos Display"/>
          <w:b/>
          <w:color w:val="23305D"/>
          <w:sz w:val="40"/>
        </w:rPr>
        <w:t>Courses 1–2</w:t>
      </w:r>
    </w:p>
    <w:p>
      <w:pPr>
        <w:spacing w:before="0" w:after="160"/>
        <w:pBdr>
          <w:bottom w:val="single" w:sz="12" w:space="1" w:color="2B72A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93192E"/>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01</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Claude Ecosystem</w:t>
            </w:r>
          </w:p>
          <w:p>
            <w:pPr>
              <w:spacing w:before="0" w:after="0" w:line="240" w:lineRule="auto"/>
              <w:jc w:val="both"/>
            </w:pPr>
            <w:r>
              <w:rPr>
                <w:rFonts w:ascii="Aptos" w:hAnsi="Aptos"/>
                <w:i/>
                <w:color w:val="667085"/>
                <w:sz w:val="18"/>
              </w:rPr>
              <w:t>Understand the surfaces, connectors and controls behind Claude.</w:t>
            </w:r>
          </w:p>
        </w:tc>
      </w:tr>
    </w:tbl>
    <w:p>
      <w:pPr>
        <w:spacing w:before="140" w:after="100" w:line="269" w:lineRule="auto"/>
        <w:jc w:val="both"/>
      </w:pPr>
      <w:r>
        <w:rPr>
          <w:rFonts w:ascii="Aptos" w:hAnsi="Aptos"/>
          <w:color w:val="1F2937"/>
          <w:sz w:val="20"/>
        </w:rPr>
        <w:t>This course maps the 2026 Claude ecosystem and helps participants choose the right surface for a business outcome. They work with Claude on web, desktop and mobile for research, analysis and file creation; Projects and reusable context for sustained work; Cowork for multi-step tasks across files and apps; Claude Code for repository-level engineering; and the Claude Platform for APIs and managed agents. Participants configure Skills, connectors, plugins and MCP tools, then compare direct prompting with tool-using workflows. The course treats governance as part of the build: permission scoping, data handling, verification, model and deployment choices, cost awareness, and human review. Participants leave with a blueprint for a governed Claude workspace.</w:t>
      </w:r>
    </w:p>
    <w:p>
      <w:pPr>
        <w:spacing w:before="20" w:after="40" w:line="240" w:lineRule="auto"/>
        <w:jc w:val="both"/>
      </w:pPr>
      <w:r>
        <w:rPr>
          <w:rFonts w:ascii="Aptos" w:hAnsi="Aptos"/>
          <w:b/>
          <w:color w:val="93192E"/>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1 · Claude surfaces, Projects, research and file creation</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2 · Cowork, Claude Code, Platform and managed agents</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Skills, connectors, plugins, MCP and reusable context</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Permissions, privacy, verification and deployment choices</w:t>
            </w:r>
          </w:p>
        </w:tc>
      </w:tr>
    </w:tbl>
    <w:p>
      <w:pPr>
        <w:spacing w:before="100" w:after="160" w:line="259" w:lineRule="auto"/>
        <w:jc w:val="both"/>
      </w:pPr>
      <w:r>
        <w:rPr>
          <w:rFonts w:ascii="Aptos" w:hAnsi="Aptos"/>
          <w:b/>
          <w:color w:val="23305D"/>
          <w:sz w:val="18"/>
        </w:rPr>
        <w:t>Activation focus: Select the smallest Claude stack that can deliver a business outcome safely and repeatably.</w:t>
      </w:r>
    </w:p>
    <w:p>
      <w:pPr>
        <w:spacing w:before="40" w:after="140" w:line="240" w:lineRule="auto"/>
        <w:pBdr>
          <w:bottom w:val="single" w:sz="3" w:space="1" w:color="DCE2E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23305D"/>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02</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Office Work with Claude and Microsoft 365</w:t>
            </w:r>
          </w:p>
          <w:p>
            <w:pPr>
              <w:spacing w:before="0" w:after="0" w:line="240" w:lineRule="auto"/>
              <w:jc w:val="both"/>
            </w:pPr>
            <w:r>
              <w:rPr>
                <w:rFonts w:ascii="Aptos" w:hAnsi="Aptos"/>
                <w:i/>
                <w:color w:val="667085"/>
                <w:sz w:val="18"/>
              </w:rPr>
              <w:t>Move from source material to finished work across Microsoft 365.</w:t>
            </w:r>
          </w:p>
        </w:tc>
      </w:tr>
    </w:tbl>
    <w:p>
      <w:pPr>
        <w:spacing w:before="140" w:after="100" w:line="269" w:lineRule="auto"/>
        <w:jc w:val="both"/>
      </w:pPr>
      <w:r>
        <w:rPr>
          <w:rFonts w:ascii="Aptos" w:hAnsi="Aptos"/>
          <w:color w:val="1F2937"/>
          <w:sz w:val="20"/>
        </w:rPr>
        <w:t>This course turns Claude into a working layer across Microsoft 365. Participants use current Claude add-ins in Excel, PowerPoint and Word, and connect Claude to SharePoint, OneDrive, Outlook and Teams where administrators have enabled access. They practice workbook analysis and formula troubleshooting, template-aware documents, executive presentations, deep research, meeting preparation, email and calendar workflows, and cross-format handoffs. Connector write tools are introduced only where tenant consent and user permissions allow them. Skills can be reused across Office surfaces, while existing Microsoft 365 permissions remain the boundary. The second workshop combines source discovery, analysis and publishing in one traceable workflow, with provenance checks and explicit approval before sending messages or modifying shared files.</w:t>
      </w:r>
    </w:p>
    <w:p>
      <w:pPr>
        <w:spacing w:before="20" w:after="40" w:line="240" w:lineRule="auto"/>
        <w:jc w:val="both"/>
      </w:pPr>
      <w:r>
        <w:rPr>
          <w:rFonts w:ascii="Aptos" w:hAnsi="Aptos"/>
          <w:b/>
          <w:color w:val="23305D"/>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1 · Excel, Word and PowerPoint add-ins</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2 · Cross-app research-to-deliverable workflow</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SharePoint, OneDrive, Outlook, Teams and file creation</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Tenant consent, provenance, permissions and approval</w:t>
            </w:r>
          </w:p>
        </w:tc>
      </w:tr>
    </w:tbl>
    <w:p>
      <w:pPr>
        <w:spacing w:before="100" w:after="160" w:line="259" w:lineRule="auto"/>
        <w:jc w:val="both"/>
      </w:pPr>
      <w:r>
        <w:rPr>
          <w:rFonts w:ascii="Aptos" w:hAnsi="Aptos"/>
          <w:b/>
          <w:color w:val="23305D"/>
          <w:sz w:val="18"/>
        </w:rPr>
        <w:t>Activation focus: Turn Microsoft 365 context into trustworthy deliverables and actions without leaving governance behind.</w:t>
      </w:r>
      <w:r>
        <w:rPr>
          <w:rFonts w:ascii="Aptos" w:hAnsi="Aptos"/>
          <w:color w:val="667085"/>
          <w:sz w:val="18"/>
        </w:rPr>
        <w:t/>
      </w:r>
    </w:p>
    <w:p>
      <w:pPr>
        <w:jc w:val="both"/>
      </w:pPr>
      <w:r>
        <w:br w:type="page"/>
      </w:r>
    </w:p>
    <w:p>
      <w:pPr>
        <w:spacing w:before="0" w:after="40" w:line="240" w:lineRule="auto"/>
        <w:jc w:val="both"/>
      </w:pPr>
      <w:r>
        <w:rPr>
          <w:rFonts w:ascii="Aptos Display" w:hAnsi="Aptos Display"/>
          <w:b/>
          <w:color w:val="93192E"/>
          <w:sz w:val="18"/>
        </w:rPr>
        <w:t>CURRICULUM</w:t>
      </w:r>
    </w:p>
    <w:p>
      <w:pPr>
        <w:spacing w:before="0" w:after="100" w:line="240" w:lineRule="auto"/>
        <w:jc w:val="both"/>
      </w:pPr>
      <w:r>
        <w:rPr>
          <w:rFonts w:ascii="Aptos Display" w:hAnsi="Aptos Display"/>
          <w:b/>
          <w:color w:val="23305D"/>
          <w:sz w:val="40"/>
        </w:rPr>
        <w:t>Courses 3–4</w:t>
      </w:r>
    </w:p>
    <w:p>
      <w:pPr>
        <w:spacing w:before="0" w:after="160"/>
        <w:pBdr>
          <w:bottom w:val="single" w:sz="12" w:space="1" w:color="2B72A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2B72AA"/>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03</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Media Production with Claude and Higgsfield</w:t>
            </w:r>
          </w:p>
          <w:p>
            <w:pPr>
              <w:spacing w:before="0" w:after="0" w:line="240" w:lineRule="auto"/>
              <w:jc w:val="both"/>
            </w:pPr>
            <w:r>
              <w:rPr>
                <w:rFonts w:ascii="Aptos" w:hAnsi="Aptos"/>
                <w:i/>
                <w:color w:val="667085"/>
                <w:sz w:val="18"/>
              </w:rPr>
              <w:t>Coordinate transcripts, sound, images and video from one brief.</w:t>
            </w:r>
          </w:p>
        </w:tc>
      </w:tr>
    </w:tbl>
    <w:p>
      <w:pPr>
        <w:spacing w:before="140" w:after="100" w:line="269" w:lineRule="auto"/>
        <w:jc w:val="both"/>
      </w:pPr>
      <w:r>
        <w:rPr>
          <w:rFonts w:ascii="Aptos" w:hAnsi="Aptos"/>
          <w:color w:val="1F2937"/>
          <w:sz w:val="20"/>
        </w:rPr>
        <w:t>This course builds an end-to-end media workflow with Claude as creative director and Higgsfield as the generation environment. Participants turn interviews and source material into transcripts, summaries, scripts, storyboards, shot lists and production prompts. Through the Higgsfield MCP connector, Claude can select and operate supported image, video and audio models to create stills, consistent characters, voiceovers, cloned voices, dubbing, sound effects, music and cinematic clips where available. Learners assemble social, marketing, training or explainer assets, then iterate through reframing, background removal, upscaling, localization and quality review. The course also covers credit costs, asset and version tracking, brand consistency, consent for voices and likenesses, copyright awareness, disclosure and responsible media checks.</w:t>
      </w:r>
    </w:p>
    <w:p>
      <w:pPr>
        <w:spacing w:before="20" w:after="40" w:line="240" w:lineRule="auto"/>
        <w:jc w:val="both"/>
      </w:pPr>
      <w:r>
        <w:rPr>
          <w:rFonts w:ascii="Aptos" w:hAnsi="Aptos"/>
          <w:b/>
          <w:color w:val="2B72AA"/>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Workshop 1 · Transcription, scripts, storyboards and direction</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Workshop 2 · Multimodal production, iteration and delivery</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Higgsfield MCP for image, audio, music and video models</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Brand consistency, rights, disclosure and quality control</w:t>
            </w:r>
          </w:p>
        </w:tc>
      </w:tr>
    </w:tbl>
    <w:p>
      <w:pPr>
        <w:spacing w:before="100" w:after="160" w:line="259" w:lineRule="auto"/>
        <w:jc w:val="both"/>
      </w:pPr>
      <w:r>
        <w:rPr>
          <w:rFonts w:ascii="Aptos" w:hAnsi="Aptos"/>
          <w:b/>
          <w:color w:val="23305D"/>
          <w:sz w:val="18"/>
        </w:rPr>
        <w:t>Activation focus: Run a repeatable creative pipeline from source material to approved multimodal assets.</w:t>
      </w:r>
      <w:r>
        <w:rPr>
          <w:rFonts w:ascii="Aptos" w:hAnsi="Aptos"/>
          <w:color w:val="667085"/>
          <w:sz w:val="18"/>
        </w:rPr>
        <w:t/>
      </w:r>
    </w:p>
    <w:p>
      <w:pPr>
        <w:spacing w:before="40" w:after="140" w:line="240" w:lineRule="auto"/>
        <w:pBdr>
          <w:bottom w:val="single" w:sz="3" w:space="1" w:color="DCE2E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93192E"/>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04</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Dynamic Websites with Claude and WordPress</w:t>
            </w:r>
          </w:p>
          <w:p>
            <w:pPr>
              <w:spacing w:before="0" w:after="0" w:line="240" w:lineRule="auto"/>
              <w:jc w:val="both"/>
            </w:pPr>
            <w:r>
              <w:rPr>
                <w:rFonts w:ascii="Aptos" w:hAnsi="Aptos"/>
                <w:i/>
                <w:color w:val="667085"/>
                <w:sz w:val="18"/>
              </w:rPr>
              <w:t>Turn business requirements into secure WordPress experiences.</w:t>
            </w:r>
          </w:p>
        </w:tc>
      </w:tr>
    </w:tbl>
    <w:p>
      <w:pPr>
        <w:spacing w:before="140" w:after="100" w:line="269" w:lineRule="auto"/>
        <w:jc w:val="both"/>
      </w:pPr>
      <w:r>
        <w:rPr>
          <w:rFonts w:ascii="Aptos" w:hAnsi="Aptos"/>
          <w:color w:val="1F2937"/>
          <w:sz w:val="20"/>
        </w:rPr>
        <w:t>This course helps participants design, build and operate dynamic WordPress experiences with Claude. They translate a business brief into information architecture, content models, accessible block-based pages and reusable patterns; then use Claude Code to create or modify themes and plugins with PHP, JavaScript, CSS, tests and Git. Participants work with the WordPress REST API for content and media operations and explore the 2026 Abilities API, AI Client and MCP Adapter, which can expose approved WordPress abilities to clients such as Claude Desktop and Claude Code. The second workshop builds an AI-enabled site feature and moves it through local development, staging and release. Security, roles, application passwords, backups, performance, accessibility and human approval before publication are treated as release requirements.</w:t>
      </w:r>
    </w:p>
    <w:p>
      <w:pPr>
        <w:spacing w:before="20" w:after="40" w:line="240" w:lineRule="auto"/>
        <w:jc w:val="both"/>
      </w:pPr>
      <w:r>
        <w:rPr>
          <w:rFonts w:ascii="Aptos" w:hAnsi="Aptos"/>
          <w:b/>
          <w:color w:val="93192E"/>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1 · Architecture, blocks, themes and plugins</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2 · AI-enabled feature, staging, test and release</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REST API, Abilities API, AI Client and MCP Adapter</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Accessibility, performance, roles, backups and security</w:t>
            </w:r>
          </w:p>
        </w:tc>
      </w:tr>
    </w:tbl>
    <w:p>
      <w:pPr>
        <w:spacing w:before="100" w:after="160" w:line="259" w:lineRule="auto"/>
        <w:jc w:val="both"/>
      </w:pPr>
      <w:r>
        <w:rPr>
          <w:rFonts w:ascii="Aptos" w:hAnsi="Aptos"/>
          <w:b/>
          <w:color w:val="23305D"/>
          <w:sz w:val="18"/>
        </w:rPr>
        <w:t>Activation focus: Build a dynamic WordPress solution that Claude can help maintain safely.</w:t>
      </w:r>
      <w:r>
        <w:rPr>
          <w:rFonts w:ascii="Aptos" w:hAnsi="Aptos"/>
          <w:color w:val="667085"/>
          <w:sz w:val="18"/>
        </w:rPr>
        <w:t/>
      </w:r>
    </w:p>
    <w:p>
      <w:pPr>
        <w:jc w:val="both"/>
      </w:pPr>
      <w:r>
        <w:br w:type="page"/>
      </w:r>
    </w:p>
    <w:p>
      <w:pPr>
        <w:spacing w:before="0" w:after="40" w:line="240" w:lineRule="auto"/>
        <w:jc w:val="both"/>
      </w:pPr>
      <w:r>
        <w:rPr>
          <w:rFonts w:ascii="Aptos Display" w:hAnsi="Aptos Display"/>
          <w:b/>
          <w:color w:val="93192E"/>
          <w:sz w:val="18"/>
        </w:rPr>
        <w:t>CURRICULUM</w:t>
      </w:r>
    </w:p>
    <w:p>
      <w:pPr>
        <w:spacing w:before="0" w:after="100" w:line="240" w:lineRule="auto"/>
        <w:jc w:val="both"/>
      </w:pPr>
      <w:r>
        <w:rPr>
          <w:rFonts w:ascii="Aptos Display" w:hAnsi="Aptos Display"/>
          <w:b/>
          <w:color w:val="23305D"/>
          <w:sz w:val="40"/>
        </w:rPr>
        <w:t>Courses 5–6</w:t>
      </w:r>
    </w:p>
    <w:p>
      <w:pPr>
        <w:spacing w:before="0" w:after="160"/>
        <w:pBdr>
          <w:bottom w:val="single" w:sz="12" w:space="1" w:color="2B72A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23305D"/>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05</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Managing Cloud Infrastructure with Claude and Azure</w:t>
            </w:r>
          </w:p>
          <w:p>
            <w:pPr>
              <w:spacing w:before="0" w:after="0" w:line="240" w:lineRule="auto"/>
              <w:jc w:val="both"/>
            </w:pPr>
            <w:r>
              <w:rPr>
                <w:rFonts w:ascii="Aptos" w:hAnsi="Aptos"/>
                <w:i/>
                <w:color w:val="667085"/>
                <w:sz w:val="18"/>
              </w:rPr>
              <w:t>Plan, provision and operate Azure with governed AI assistance.</w:t>
            </w:r>
          </w:p>
        </w:tc>
      </w:tr>
    </w:tbl>
    <w:p>
      <w:pPr>
        <w:spacing w:before="140" w:after="100" w:line="269" w:lineRule="auto"/>
        <w:jc w:val="both"/>
      </w:pPr>
      <w:r>
        <w:rPr>
          <w:rFonts w:ascii="Aptos" w:hAnsi="Aptos"/>
          <w:color w:val="1F2937"/>
          <w:sz w:val="20"/>
        </w:rPr>
        <w:t>This course applies Claude to Azure architecture, provisioning and operations without surrendering change control. Participants deploy and call Claude models through Microsoft Foundry where available, compare hosting and authentication choices, and configure Claude Code for Foundry-backed development. They use Azure CLI and Azure Developer CLI with Bicep or Terraform to plan and provision repeatable environments. With Azure MCP Server, Claude can inspect approved resources and use context-aware tools across services such as Key Vault, Monitor, Storage, App Configuration, Cosmos DB and RBAC. The second workshop follows an operations loop: inventory, diagnose, propose, approve, change, validate, observe and roll back. Least privilege, managed identity, secrets, cost controls, logging and a strict separation between read-only diagnosis and production writes anchor the course.</w:t>
      </w:r>
    </w:p>
    <w:p>
      <w:pPr>
        <w:spacing w:before="20" w:after="40" w:line="240" w:lineRule="auto"/>
        <w:jc w:val="both"/>
      </w:pPr>
      <w:r>
        <w:rPr>
          <w:rFonts w:ascii="Aptos" w:hAnsi="Aptos"/>
          <w:b/>
          <w:color w:val="23305D"/>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1 · Foundry, architecture and infrastructure as code</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2 · Diagnose, change, validate, observe and roll back</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Azure MCP, CLI, azd, Bicep/Terraform and monitoring</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RBAC, managed identity, Key Vault, cost and audit controls</w:t>
            </w:r>
          </w:p>
        </w:tc>
      </w:tr>
    </w:tbl>
    <w:p>
      <w:pPr>
        <w:spacing w:before="100" w:after="160" w:line="259" w:lineRule="auto"/>
        <w:jc w:val="both"/>
      </w:pPr>
      <w:r>
        <w:rPr>
          <w:rFonts w:ascii="Aptos" w:hAnsi="Aptos"/>
          <w:b/>
          <w:color w:val="23305D"/>
          <w:sz w:val="18"/>
        </w:rPr>
        <w:t>Activation focus: Use Claude to accelerate Azure operations while humans retain authority over production change.</w:t>
      </w:r>
      <w:r>
        <w:rPr>
          <w:rFonts w:ascii="Aptos" w:hAnsi="Aptos"/>
          <w:color w:val="667085"/>
          <w:sz w:val="18"/>
        </w:rPr>
        <w:t/>
      </w:r>
    </w:p>
    <w:p>
      <w:pPr>
        <w:spacing w:before="40" w:after="140" w:line="240" w:lineRule="auto"/>
        <w:pBdr>
          <w:bottom w:val="single" w:sz="3" w:space="1" w:color="DCE2E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2B72AA"/>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06</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Enterprise Solutions with Claude</w:t>
            </w:r>
          </w:p>
          <w:p>
            <w:pPr>
              <w:spacing w:before="0" w:after="0" w:line="240" w:lineRule="auto"/>
              <w:jc w:val="both"/>
            </w:pPr>
            <w:r>
              <w:rPr>
                <w:rFonts w:ascii="Aptos" w:hAnsi="Aptos"/>
                <w:i/>
                <w:color w:val="667085"/>
                <w:sz w:val="18"/>
              </w:rPr>
              <w:t>Connect Stripe, PayPal, QuickBooks and ERPNext with control.</w:t>
            </w:r>
          </w:p>
        </w:tc>
      </w:tr>
    </w:tbl>
    <w:p>
      <w:pPr>
        <w:spacing w:before="140" w:after="100" w:line="269" w:lineRule="auto"/>
        <w:jc w:val="both"/>
      </w:pPr>
      <w:r>
        <w:rPr>
          <w:rFonts w:ascii="Aptos" w:hAnsi="Aptos"/>
          <w:color w:val="1F2937"/>
          <w:sz w:val="20"/>
        </w:rPr>
        <w:t>This course designs connected business workflows across payments, accounting and ERP. Participants use official Stripe and PayPal MCP or agent toolkits in sandbox environments, current Claude and Cowork connectors for QuickBooks and PayPal where available, and Frappe REST APIs to integrate ERPNext business records. Use cases include customer and product setup, invoices, payment links, subscriptions, settlements, refunds, reconciliation, month-end close, cash-flow insight and order-to-cash synchronization. Learners map schemas and identifiers, handle OAuth or restricted keys, webhooks, idempotency, retries and audit trails, and build adapters when no native connector exists. Every workflow separates analysis from transaction execution and requires role-based permissions, test data, approval gates and evidence before money, books or ERP records are changed.</w:t>
      </w:r>
    </w:p>
    <w:p>
      <w:pPr>
        <w:spacing w:before="20" w:after="40" w:line="240" w:lineRule="auto"/>
        <w:jc w:val="both"/>
      </w:pPr>
      <w:r>
        <w:rPr>
          <w:rFonts w:ascii="Aptos" w:hAnsi="Aptos"/>
          <w:b/>
          <w:color w:val="2B72AA"/>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Workshop 1 · Map customers, orders, invoices and payments</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Workshop 2 · Build and validate an approved end-to-end flow</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Stripe/PayPal MCP, QuickBooks connectors and ERPNext REST</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B72AA"/>
                <w:sz w:val="18"/>
              </w:rPr>
              <w:t xml:space="preserve">• </w:t>
            </w:r>
            <w:r>
              <w:rPr>
                <w:rFonts w:ascii="Aptos" w:hAnsi="Aptos"/>
                <w:color w:val="1F2937"/>
                <w:sz w:val="18"/>
              </w:rPr>
              <w:t>OAuth, restricted keys, webhooks, idempotency and approvals</w:t>
            </w:r>
          </w:p>
        </w:tc>
      </w:tr>
    </w:tbl>
    <w:p>
      <w:pPr>
        <w:spacing w:before="100" w:after="160" w:line="259" w:lineRule="auto"/>
        <w:jc w:val="both"/>
      </w:pPr>
      <w:r>
        <w:rPr>
          <w:rFonts w:ascii="Aptos" w:hAnsi="Aptos"/>
          <w:b/>
          <w:color w:val="23305D"/>
          <w:sz w:val="18"/>
        </w:rPr>
        <w:t>Activation focus: Create a traceable finance workflow that never treats high-impact actions as casual tool calls.</w:t>
      </w:r>
      <w:r>
        <w:rPr>
          <w:rFonts w:ascii="Aptos" w:hAnsi="Aptos"/>
          <w:color w:val="667085"/>
          <w:sz w:val="18"/>
        </w:rPr>
        <w:t/>
      </w:r>
    </w:p>
    <w:p>
      <w:pPr>
        <w:jc w:val="both"/>
      </w:pPr>
      <w:r>
        <w:br w:type="page"/>
      </w:r>
    </w:p>
    <w:p>
      <w:pPr>
        <w:spacing w:before="0" w:after="40" w:line="240" w:lineRule="auto"/>
        <w:jc w:val="both"/>
      </w:pPr>
      <w:r>
        <w:rPr>
          <w:rFonts w:ascii="Aptos Display" w:hAnsi="Aptos Display"/>
          <w:b/>
          <w:color w:val="93192E"/>
          <w:sz w:val="18"/>
        </w:rPr>
        <w:t>CURRICULUM</w:t>
      </w:r>
    </w:p>
    <w:p>
      <w:pPr>
        <w:spacing w:before="0" w:after="100" w:line="240" w:lineRule="auto"/>
        <w:jc w:val="both"/>
      </w:pPr>
      <w:r>
        <w:rPr>
          <w:rFonts w:ascii="Aptos Display" w:hAnsi="Aptos Display"/>
          <w:b/>
          <w:color w:val="23305D"/>
          <w:sz w:val="40"/>
        </w:rPr>
        <w:t>Courses 7–8</w:t>
      </w:r>
    </w:p>
    <w:p>
      <w:pPr>
        <w:spacing w:before="0" w:after="160"/>
        <w:pBdr>
          <w:bottom w:val="single" w:sz="12" w:space="1" w:color="2B72A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93192E"/>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07</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Building Custom Apps with Claude</w:t>
            </w:r>
          </w:p>
          <w:p>
            <w:pPr>
              <w:spacing w:before="0" w:after="0" w:line="240" w:lineRule="auto"/>
              <w:jc w:val="both"/>
            </w:pPr>
            <w:r>
              <w:rPr>
                <w:rFonts w:ascii="Aptos" w:hAnsi="Aptos"/>
                <w:i/>
                <w:color w:val="667085"/>
                <w:sz w:val="18"/>
              </w:rPr>
              <w:t>Create maintainable desktop, web and mobile products with Claude.</w:t>
            </w:r>
          </w:p>
        </w:tc>
      </w:tr>
    </w:tbl>
    <w:p>
      <w:pPr>
        <w:spacing w:before="140" w:after="100" w:line="269" w:lineRule="auto"/>
        <w:jc w:val="both"/>
      </w:pPr>
      <w:r>
        <w:rPr>
          <w:rFonts w:ascii="Aptos" w:hAnsi="Aptos"/>
          <w:color w:val="1F2937"/>
          <w:sz w:val="20"/>
        </w:rPr>
        <w:t>This course moves from a business problem to deployable Claude-powered software across desktop, web and mobile. Participants define users, requirements, data models, APIs and acceptance criteria, then use Claude Code to scaffold, implement, review and test a shared service layer with an appropriate client: web framework, desktop shell or mobile toolkit. They integrate Claude through the Messages API, official SDKs or Agent SDK, adding structured outputs, tool use, retrieval, MCP connections and streaming where the use case benefits. The second workshop hardens the prototype with authentication, secure secret storage, accessibility, automated tests, logging, latency and cost controls, evaluation cases and deployment packaging. The focus is not merely code generation, but maintainable architecture and verifiable behavior.</w:t>
      </w:r>
    </w:p>
    <w:p>
      <w:pPr>
        <w:spacing w:before="20" w:after="40" w:line="240" w:lineRule="auto"/>
        <w:jc w:val="both"/>
      </w:pPr>
      <w:r>
        <w:rPr>
          <w:rFonts w:ascii="Aptos" w:hAnsi="Aptos"/>
          <w:b/>
          <w:color w:val="93192E"/>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1 · Requirements, architecture, UX and prototype</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Workshop 2 · Test, evaluate, package and deploy</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Messages API, SDKs, Agent SDK, tools, retrieval and MCP</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93192E"/>
                <w:sz w:val="18"/>
              </w:rPr>
              <w:t xml:space="preserve">• </w:t>
            </w:r>
            <w:r>
              <w:rPr>
                <w:rFonts w:ascii="Aptos" w:hAnsi="Aptos"/>
                <w:color w:val="1F2937"/>
                <w:sz w:val="18"/>
              </w:rPr>
              <w:t>Auth, secrets, accessibility, observability, latency and cost</w:t>
            </w:r>
          </w:p>
        </w:tc>
      </w:tr>
    </w:tbl>
    <w:p>
      <w:pPr>
        <w:spacing w:before="100" w:after="160" w:line="259" w:lineRule="auto"/>
        <w:jc w:val="both"/>
      </w:pPr>
      <w:r>
        <w:rPr>
          <w:rFonts w:ascii="Aptos" w:hAnsi="Aptos"/>
          <w:b/>
          <w:color w:val="23305D"/>
          <w:sz w:val="18"/>
        </w:rPr>
        <w:t>Activation focus: Ship one maintainable architecture across the client experiences the business actually needs.</w:t>
      </w:r>
      <w:r>
        <w:rPr>
          <w:rFonts w:ascii="Aptos" w:hAnsi="Aptos"/>
          <w:color w:val="667085"/>
          <w:sz w:val="18"/>
        </w:rPr>
        <w:t/>
      </w:r>
    </w:p>
    <w:p>
      <w:pPr>
        <w:spacing w:before="40" w:after="140" w:line="240" w:lineRule="auto"/>
        <w:pBdr>
          <w:bottom w:val="single" w:sz="3" w:space="1" w:color="DCE2EA"/>
        </w:pBdr>
        <w:jc w:val="both"/>
      </w:pPr>
    </w:p>
    <w:tbl>
      <w:tblPr>
        <w:tblW w:type="auto" w:w="0"/>
        <w:jc w:val="center"/>
        <w:tblLayout w:type="fixed"/>
        <w:tblLook w:firstColumn="1" w:firstRow="1" w:lastColumn="0" w:lastRow="0" w:noHBand="0" w:noVBand="1" w:val="04A0"/>
      </w:tblPr>
      <w:tblGrid>
        <w:gridCol w:w="1037"/>
        <w:gridCol w:w="9043"/>
      </w:tblGrid>
      <w:tr>
        <w:tc>
          <w:tcPr>
            <w:tcW w:type="dxa" w:w="5083"/>
            <w:shd w:fill="23305D"/>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0" w:line="240" w:lineRule="auto"/>
              <w:jc w:val="both"/>
            </w:pPr>
            <w:r>
              <w:rPr>
                <w:rFonts w:ascii="Aptos Display" w:hAnsi="Aptos Display"/>
                <w:b/>
                <w:color w:val="FFFFFF"/>
                <w:sz w:val="36"/>
              </w:rPr>
              <w:t>08</w:t>
            </w:r>
          </w:p>
        </w:tc>
        <w:tc>
          <w:tcPr>
            <w:tcW w:type="dxa" w:w="5083"/>
            <w:shd w:fill="F8FAFC"/>
            <w:tcMar>
              <w:top w:w="90" w:type="dxa"/>
              <w:start w:w="120" w:type="dxa"/>
              <w:bottom w:w="90" w:type="dxa"/>
              <w:end w:w="120" w:type="dxa"/>
            </w:tcMar>
            <w:tcBorders>
              <w:top w:val="single" w:sz="4" w:color="D9DEE7"/>
              <w:left w:val="single" w:sz="4" w:color="D9DEE7"/>
              <w:bottom w:val="single" w:sz="4" w:color="D9DEE7"/>
              <w:right w:val="single" w:sz="4" w:color="D9DEE7"/>
            </w:tcBorders>
            <w:vAlign w:val="center"/>
          </w:tcPr>
          <w:p>
            <w:pPr>
              <w:spacing w:before="0" w:after="20" w:line="240" w:lineRule="auto"/>
              <w:jc w:val="both"/>
            </w:pPr>
            <w:r>
              <w:rPr>
                <w:rFonts w:ascii="Aptos Display" w:hAnsi="Aptos Display"/>
                <w:b/>
                <w:color w:val="23305D"/>
                <w:sz w:val="31"/>
              </w:rPr>
              <w:t>Agentic Systems with Claude and n8n</w:t>
            </w:r>
          </w:p>
          <w:p>
            <w:pPr>
              <w:spacing w:before="0" w:after="0" w:line="240" w:lineRule="auto"/>
              <w:jc w:val="both"/>
            </w:pPr>
            <w:r>
              <w:rPr>
                <w:rFonts w:ascii="Aptos" w:hAnsi="Aptos"/>
                <w:i/>
                <w:color w:val="667085"/>
                <w:sz w:val="18"/>
              </w:rPr>
              <w:t>Orchestrate social, custom and multi-agent workflows safely.</w:t>
            </w:r>
          </w:p>
        </w:tc>
      </w:tr>
    </w:tbl>
    <w:p>
      <w:pPr>
        <w:spacing w:before="140" w:after="100" w:line="269" w:lineRule="auto"/>
        <w:jc w:val="both"/>
      </w:pPr>
      <w:r>
        <w:rPr>
          <w:rFonts w:ascii="Aptos" w:hAnsi="Aptos"/>
          <w:color w:val="1F2937"/>
          <w:sz w:val="20"/>
        </w:rPr>
        <w:t>This course builds agentic systems with Claude as the reasoning model and n8n as the orchestration layer. Participants configure n8n's Anthropic Chat Model and AI Agent capabilities with tools, memory, structured outputs and human review. They create a Telegram agent using native trigger and action nodes, and an Instagram workflow through the Meta Graph API or an approved publishing connector, respecting platform permissions and rate limits. Custom agents call APIs, databases and sub-workflows; multi-agent patterns use specialist agents or delegated tools under a clear orchestrator. The second workshop adds schedules, retries, idempotency, secrets, audit logs, failure routes, content moderation and approval gates. Participants learn when a deterministic workflow is safer than an autonomous agent and how to monitor both.</w:t>
      </w:r>
    </w:p>
    <w:p>
      <w:pPr>
        <w:spacing w:before="20" w:after="40" w:line="240" w:lineRule="auto"/>
        <w:jc w:val="both"/>
      </w:pPr>
      <w:r>
        <w:rPr>
          <w:rFonts w:ascii="Aptos" w:hAnsi="Aptos"/>
          <w:b/>
          <w:color w:val="23305D"/>
          <w:sz w:val="18"/>
        </w:rPr>
        <w:t>Workshop structure and capabilities</w:t>
      </w:r>
    </w:p>
    <w:tbl>
      <w:tblPr>
        <w:tblW w:type="auto" w:w="0"/>
        <w:jc w:val="center"/>
        <w:tblLayout w:type="fixed"/>
        <w:tblLook w:firstColumn="1" w:firstRow="1" w:lastColumn="0" w:lastRow="0" w:noHBand="0" w:noVBand="1" w:val="04A0"/>
      </w:tblPr>
      <w:tblGrid>
        <w:gridCol w:w="5083"/>
        <w:gridCol w:w="5083"/>
      </w:tblGrid>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1 · Claude agent, tools, memory and structured outputs</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Workshop 2 · Social, custom and multi-agent system build</w:t>
            </w:r>
          </w:p>
        </w:tc>
      </w:tr>
      <w:tr>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Telegram nodes; Instagram via Graph API or approved connector</w:t>
            </w:r>
          </w:p>
        </w:tc>
        <w:tc>
          <w:tcPr>
            <w:tcW w:type="dxa" w:w="5083"/>
            <w:shd w:fill="FFFFFF"/>
            <w:tcMar>
              <w:top w:w="45" w:type="dxa"/>
              <w:start w:w="80" w:type="dxa"/>
              <w:bottom w:w="45" w:type="dxa"/>
              <w:end w:w="80" w:type="dxa"/>
            </w:tcMar>
            <w:tcBorders>
              <w:bottom w:val="single" w:sz="2" w:color="E8EBF0"/>
            </w:tcBorders>
          </w:tcPr>
          <w:p>
            <w:pPr>
              <w:spacing w:before="0" w:after="0" w:line="240" w:lineRule="auto"/>
              <w:jc w:val="both"/>
            </w:pPr>
            <w:r>
              <w:rPr>
                <w:rFonts w:ascii="Aptos" w:hAnsi="Aptos"/>
                <w:b/>
                <w:color w:val="23305D"/>
                <w:sz w:val="18"/>
              </w:rPr>
              <w:t xml:space="preserve">• </w:t>
            </w:r>
            <w:r>
              <w:rPr>
                <w:rFonts w:ascii="Aptos" w:hAnsi="Aptos"/>
                <w:color w:val="1F2937"/>
                <w:sz w:val="18"/>
              </w:rPr>
              <w:t>Retries, schedules, approvals, audit logs and failure routes</w:t>
            </w:r>
          </w:p>
        </w:tc>
      </w:tr>
    </w:tbl>
    <w:p>
      <w:pPr>
        <w:spacing w:before="100" w:after="160" w:line="259" w:lineRule="auto"/>
        <w:jc w:val="both"/>
      </w:pPr>
      <w:r>
        <w:rPr>
          <w:rFonts w:ascii="Aptos" w:hAnsi="Aptos"/>
          <w:b/>
          <w:color w:val="23305D"/>
          <w:sz w:val="18"/>
        </w:rPr>
        <w:t>Activation focus: Deploy agents that are useful, observable and interruptible - not merely autonomous.</w:t>
      </w:r>
      <w:r>
        <w:rPr>
          <w:rFonts w:ascii="Aptos" w:hAnsi="Aptos"/>
          <w:color w:val="667085"/>
          <w:sz w:val="18"/>
        </w:rPr>
        <w:t/>
      </w:r>
    </w:p>
    <w:p>
      <w:pPr>
        <w:spacing w:before="120" w:after="60" w:line="240" w:lineRule="auto"/>
        <w:jc w:val="both"/>
      </w:pPr>
      <w:r>
        <w:rPr>
          <w:rFonts w:ascii="Aptos" w:hAnsi="Aptos"/>
          <w:b/>
          <w:color w:val="93192E"/>
          <w:sz w:val="18"/>
        </w:rPr>
        <w:t>Curriculum currency and availability</w:t>
      </w:r>
    </w:p>
    <w:p>
      <w:pPr>
        <w:spacing w:before="0" w:after="0" w:line="259" w:lineRule="auto"/>
        <w:jc w:val="both"/>
      </w:pPr>
      <w:r>
        <w:rPr>
          <w:rFonts w:ascii="Aptos" w:hAnsi="Aptos"/>
          <w:color w:val="667085"/>
          <w:sz w:val="17"/>
        </w:rPr>
        <w:t>Claude and connected platforms evolve rapidly. Product names, model versions, add-ins, connectors, MCP tools, subscription requirements, geographic availability, preview status, API scopes and administrator controls may change. AIDA Digital Academy should confirm live capabilities, platform policies, sandbox credentials and hands-on exercises before each delivery while preserving the learning outcomes in this curriculum.</w:t>
      </w:r>
    </w:p>
    <w:sectPr w:rsidR="00FC693F" w:rsidRPr="0006063C" w:rsidSect="00034616">
      <w:footerReference w:type="default" r:id="rId9"/>
      <w:headerReference w:type="default" r:id="rId11"/>
      <w:headerReference w:type="first" r:id="rId12"/>
      <w:footerReference w:type="first" r:id="rId13"/>
      <w:headerReference w:type="even" r:id="rId14"/>
      <w:footerReference w:type="even" r:id="rId15"/>
      <w:pgSz w:w="12240" w:h="15840"/>
      <w:pgMar w:top="950" w:right="1037" w:bottom="835" w:left="1037" w:header="259"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74"/>
      <w:gridCol w:w="792"/>
    </w:tblGrid>
    <w:tr>
      <w:tc>
        <w:tcPr>
          <w:tcW w:type="dxa" w:w="9374"/>
          <w:vAlign w:val="center"/>
          <w:tcMar>
            <w:top w:w="0" w:type="dxa"/>
            <w:left w:w="0" w:type="dxa"/>
            <w:bottom w:w="0" w:type="dxa"/>
            <w:right w:w="0" w:type="dxa"/>
          </w:tcMar>
        </w:tcPr>
        <w:p>
          <w:pPr>
            <w:spacing w:before="0" w:after="0" w:line="240" w:lineRule="auto"/>
            <w:jc w:val="left"/>
          </w:pPr>
          <w:r>
            <w:rPr>
              <w:rFonts w:ascii="Aptos" w:hAnsi="Aptos"/>
              <w:sz w:val="17"/>
              <w:color w:val="8293B4"/>
            </w:rPr>
            <w:t>AIDA Digital Academy  |  AI Expert Curriculum  |  September 2026</w:t>
          </w:r>
        </w:p>
      </w:tc>
      <w:tc>
        <w:tcPr>
          <w:tcW w:type="dxa" w:w="792"/>
          <w:vAlign w:val="center"/>
          <w:tcMar>
            <w:top w:w="0" w:type="dxa"/>
            <w:left w:w="0" w:type="dxa"/>
            <w:bottom w:w="0" w:type="dxa"/>
            <w:right w:w="0" w:type="dxa"/>
          </w:tcMar>
        </w:tcPr>
        <w:p>
          <w:pPr>
            <w:spacing w:before="0" w:after="0" w:line="240" w:lineRule="auto"/>
            <w:jc w:val="right"/>
          </w:pPr>
          <w:r>
            <w:rPr>
              <w:rFonts w:ascii="Aptos" w:hAnsi="Aptos"/>
              <w:sz w:val="18"/>
            </w:rPr>
            <w:fldChar w:fldCharType="begin"/>
            <w:instrText xml:space="preserve"> PAGE </w:instrText>
            <w:fldChar w:fldCharType="separate"/>
            <w:t>1</w:t>
            <w:fldChar w:fldCharType="end"/>
          </w:r>
        </w:p>
      </w:tc>
    </w:tr>
  </w:tbl>
  <w:p>
    <w:pPr>
      <w:spacing w:before="0" w:after="0" w:line="240" w:lineRule="auto"/>
    </w:pPr>
    <w:r>
      <w:rPr>
        <w:sz w:val="2"/>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74"/>
      <w:gridCol w:w="792"/>
    </w:tblGrid>
    <w:tr>
      <w:tc>
        <w:tcPr>
          <w:tcW w:type="dxa" w:w="9374"/>
          <w:vAlign w:val="center"/>
          <w:tcMar>
            <w:top w:w="0" w:type="dxa"/>
            <w:left w:w="0" w:type="dxa"/>
            <w:bottom w:w="0" w:type="dxa"/>
            <w:right w:w="0" w:type="dxa"/>
          </w:tcMar>
        </w:tcPr>
        <w:p>
          <w:pPr>
            <w:spacing w:before="0" w:after="0" w:line="240" w:lineRule="auto"/>
            <w:jc w:val="left"/>
          </w:pPr>
          <w:r>
            <w:rPr>
              <w:rFonts w:ascii="Aptos" w:hAnsi="Aptos"/>
              <w:sz w:val="17"/>
              <w:color w:val="8293B4"/>
            </w:rPr>
            <w:t>AIDA Digital Academy  |  AI Expert Curriculum  |  September 2026</w:t>
          </w:r>
        </w:p>
      </w:tc>
      <w:tc>
        <w:tcPr>
          <w:tcW w:type="dxa" w:w="792"/>
          <w:vAlign w:val="center"/>
          <w:tcMar>
            <w:top w:w="0" w:type="dxa"/>
            <w:left w:w="0" w:type="dxa"/>
            <w:bottom w:w="0" w:type="dxa"/>
            <w:right w:w="0" w:type="dxa"/>
          </w:tcMar>
        </w:tcPr>
        <w:p>
          <w:pPr>
            <w:spacing w:before="0" w:after="0" w:line="240" w:lineRule="auto"/>
            <w:jc w:val="right"/>
          </w:pPr>
          <w:r>
            <w:rPr>
              <w:rFonts w:ascii="Aptos" w:hAnsi="Aptos"/>
              <w:sz w:val="18"/>
            </w:rPr>
            <w:fldChar w:fldCharType="begin"/>
            <w:instrText xml:space="preserve"> PAGE </w:instrText>
            <w:fldChar w:fldCharType="separate"/>
            <w:t>1</w:t>
            <w:fldChar w:fldCharType="end"/>
          </w:r>
        </w:p>
      </w:tc>
    </w:tr>
  </w:tbl>
  <w:p>
    <w:pPr>
      <w:spacing w:before="0" w:after="0" w:line="240" w:lineRule="auto"/>
    </w:pPr>
    <w:r>
      <w:rPr>
        <w:sz w:val="2"/>
      </w:rPr>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9374"/>
      <w:gridCol w:w="792"/>
    </w:tblGrid>
    <w:tr>
      <w:tc>
        <w:tcPr>
          <w:tcW w:type="dxa" w:w="9374"/>
          <w:vAlign w:val="center"/>
          <w:tcMar>
            <w:top w:w="0" w:type="dxa"/>
            <w:left w:w="0" w:type="dxa"/>
            <w:bottom w:w="0" w:type="dxa"/>
            <w:right w:w="0" w:type="dxa"/>
          </w:tcMar>
        </w:tcPr>
        <w:p>
          <w:pPr>
            <w:spacing w:before="0" w:after="0" w:line="240" w:lineRule="auto"/>
            <w:jc w:val="left"/>
          </w:pPr>
          <w:r>
            <w:rPr>
              <w:rFonts w:ascii="Aptos" w:hAnsi="Aptos"/>
              <w:sz w:val="17"/>
              <w:color w:val="8293B4"/>
            </w:rPr>
            <w:t>AIDA Digital Academy  |  AI Expert Curriculum  |  September 2026</w:t>
          </w:r>
        </w:p>
      </w:tc>
      <w:tc>
        <w:tcPr>
          <w:tcW w:type="dxa" w:w="792"/>
          <w:vAlign w:val="center"/>
          <w:tcMar>
            <w:top w:w="0" w:type="dxa"/>
            <w:left w:w="0" w:type="dxa"/>
            <w:bottom w:w="0" w:type="dxa"/>
            <w:right w:w="0" w:type="dxa"/>
          </w:tcMar>
        </w:tcPr>
        <w:p>
          <w:pPr>
            <w:spacing w:before="0" w:after="0" w:line="240" w:lineRule="auto"/>
            <w:jc w:val="right"/>
          </w:pPr>
          <w:r>
            <w:rPr>
              <w:rFonts w:ascii="Aptos" w:hAnsi="Aptos"/>
              <w:sz w:val="18"/>
            </w:rPr>
            <w:fldChar w:fldCharType="begin"/>
            <w:instrText xml:space="preserve"> PAGE </w:instrText>
            <w:fldChar w:fldCharType="separate"/>
            <w:t>1</w:t>
            <w:fldChar w:fldCharType="end"/>
          </w:r>
        </w:p>
      </w:tc>
    </w:tr>
  </w:tbl>
  <w:p>
    <w:pPr>
      <w:spacing w:before="0" w:after="0" w:line="240" w:lineRule="auto"/>
    </w:pPr>
    <w:r>
      <w:rPr>
        <w:sz w:val="2"/>
      </w:r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right"/>
    </w:pPr>
    <w:r>
      <w:drawing>
        <wp:inline xmlns:a="http://schemas.openxmlformats.org/drawingml/2006/main" xmlns:pic="http://schemas.openxmlformats.org/drawingml/2006/picture">
          <wp:extent cx="502920" cy="400028"/>
          <wp:docPr id="1" name="Picture 1" title="AIDA Digital Academy logo" descr="AIDA Digital Academy logo"/>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502920" cy="400028"/>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both"/>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color w:val="1F29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ulletAIDA">
    <w:name w:val="Bullet AIDA"/>
    <w:basedOn w:val="Normal"/>
    <w:pPr>
      <w:ind w:left="259" w:hanging="173"/>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Expert: Developing Advanced Business &amp; Enterprise Applications using Claude Ecosystem</dc:title>
  <dc:subject>AIDA Digital Academy website curriculum</dc:subject>
  <dc:creator>AIDA Digital Academy</dc:creator>
  <cp:keywords>AI Expert, Claude, Microsoft 365, Higgsfield, WordPress, Azure, Stripe, PayPal, QuickBooks, ERPNext, n8n</cp:keywords>
  <dc:description>A 32-hour, eight-course curriculum delivered as sixteen two-hour workshops.</dc:description>
  <cp:lastModifiedBy>AIDA Digital Academy</cp:lastModifiedBy>
  <cp:revision>1</cp:revision>
  <dcterms:created xsi:type="dcterms:W3CDTF">2013-12-23T23:15:00Z</dcterms:created>
  <dcterms:modified xsi:type="dcterms:W3CDTF">2026-09-01T12:00:00Z</dcterms:modified>
  <cp:category/>
</cp:coreProperties>
</file>